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碳中和</w:t>
      </w:r>
      <w:r>
        <w:rPr>
          <w:rFonts w:hint="eastAsia"/>
          <w:b/>
          <w:sz w:val="32"/>
          <w:szCs w:val="32"/>
          <w:lang w:val="en-US" w:eastAsia="zh-CN"/>
        </w:rPr>
        <w:t>技术与管理</w:t>
      </w:r>
      <w:r>
        <w:rPr>
          <w:rFonts w:hint="eastAsia"/>
          <w:b/>
          <w:sz w:val="32"/>
          <w:szCs w:val="32"/>
        </w:rPr>
        <w:t>微专业人才培养方案</w:t>
      </w:r>
    </w:p>
    <w:bookmarkEnd w:id="0"/>
    <w:p>
      <w:pPr>
        <w:rPr>
          <w:b/>
          <w:sz w:val="32"/>
          <w:szCs w:val="32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一、培养目标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本专业致力于培养具备良好的思想品德、社会责任感、深厚人文底蕴及扎实专业知识，培养国家兼具西部地域和</w:t>
      </w:r>
      <w:r>
        <w:rPr>
          <w:rFonts w:hint="eastAsia"/>
          <w:sz w:val="28"/>
          <w:szCs w:val="28"/>
          <w:lang w:val="en-US" w:eastAsia="zh-CN"/>
        </w:rPr>
        <w:t>重庆“33618”现代制造业集群体系</w:t>
      </w:r>
      <w:r>
        <w:rPr>
          <w:rFonts w:hint="eastAsia"/>
          <w:sz w:val="28"/>
          <w:szCs w:val="28"/>
        </w:rPr>
        <w:t>特色的“双碳“战略环保人才。毕业生应具备以下核心能力：</w:t>
      </w:r>
      <w:r>
        <w:rPr>
          <w:rFonts w:hint="eastAsia"/>
          <w:sz w:val="28"/>
          <w:szCs w:val="28"/>
          <w:lang w:val="en-US" w:eastAsia="zh-CN"/>
        </w:rPr>
        <w:t>掌握</w:t>
      </w:r>
      <w:r>
        <w:rPr>
          <w:rFonts w:hint="eastAsia"/>
          <w:sz w:val="28"/>
          <w:szCs w:val="28"/>
        </w:rPr>
        <w:t>碳中和相关的环境科学、经济学、政策法规等理论知识；能够分析碳排放现状，评估减碳路径的经济性与可行性；熟悉减污降碳重大科学前沿问题研究；追踪碳中和关键技术攻关；掌握碳足迹计算和评估方法；构建低碳社会经济服务新体系，全面提升服务国家双碳战略和</w:t>
      </w:r>
      <w:r>
        <w:rPr>
          <w:rFonts w:hint="eastAsia"/>
          <w:sz w:val="28"/>
          <w:szCs w:val="28"/>
          <w:lang w:val="en-US" w:eastAsia="zh-CN"/>
        </w:rPr>
        <w:t>服务重庆现代制造业集群体系碳管理</w:t>
      </w:r>
      <w:r>
        <w:rPr>
          <w:rFonts w:hint="eastAsia"/>
          <w:sz w:val="28"/>
          <w:szCs w:val="28"/>
        </w:rPr>
        <w:t>展的能力。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二、培养要求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学生需先学习高等数学、无机及分析化学、有机化学、物理化学、化工原理/环境工程原理、工程制图等基础课程，具备具有良好的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理工科素养及物理化学知识。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三、课程设置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991"/>
        <w:gridCol w:w="639"/>
        <w:gridCol w:w="801"/>
        <w:gridCol w:w="618"/>
        <w:gridCol w:w="694"/>
        <w:gridCol w:w="924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63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211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学时数</w:t>
            </w:r>
          </w:p>
        </w:tc>
        <w:tc>
          <w:tcPr>
            <w:tcW w:w="92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考核形式</w:t>
            </w:r>
          </w:p>
        </w:tc>
        <w:tc>
          <w:tcPr>
            <w:tcW w:w="92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开设学期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</w:tcPr>
          <w:p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3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总学时</w: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理论</w:t>
            </w:r>
          </w:p>
        </w:tc>
        <w:tc>
          <w:tcPr>
            <w:tcW w:w="6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实践</w:t>
            </w:r>
          </w:p>
        </w:tc>
        <w:tc>
          <w:tcPr>
            <w:tcW w:w="92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2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99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碳中和技术概念</w:t>
            </w:r>
          </w:p>
        </w:tc>
        <w:tc>
          <w:tcPr>
            <w:tcW w:w="6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6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考察</w:t>
            </w:r>
          </w:p>
        </w:tc>
        <w:tc>
          <w:tcPr>
            <w:tcW w:w="9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99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现代制造业</w:t>
            </w:r>
            <w:r>
              <w:rPr>
                <w:rFonts w:hint="eastAsia"/>
              </w:rPr>
              <w:t>绿色发展与减污降碳</w:t>
            </w:r>
          </w:p>
        </w:tc>
        <w:tc>
          <w:tcPr>
            <w:tcW w:w="6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6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9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99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二氧化碳减排与资源化利用</w:t>
            </w:r>
          </w:p>
        </w:tc>
        <w:tc>
          <w:tcPr>
            <w:tcW w:w="6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6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9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99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生态修复与固碳技术</w:t>
            </w:r>
          </w:p>
        </w:tc>
        <w:tc>
          <w:tcPr>
            <w:tcW w:w="6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6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9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99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碳捕集利用与封存技术</w:t>
            </w:r>
          </w:p>
        </w:tc>
        <w:tc>
          <w:tcPr>
            <w:tcW w:w="6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6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9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99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工业碳足迹与核算技术</w:t>
            </w:r>
          </w:p>
        </w:tc>
        <w:tc>
          <w:tcPr>
            <w:tcW w:w="6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6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9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99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碳排放和碳减排认证策略</w:t>
            </w:r>
          </w:p>
        </w:tc>
        <w:tc>
          <w:tcPr>
            <w:tcW w:w="6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6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考察</w:t>
            </w:r>
          </w:p>
        </w:tc>
        <w:tc>
          <w:tcPr>
            <w:tcW w:w="9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99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碳核算、配额交易仿真实训</w:t>
            </w:r>
          </w:p>
        </w:tc>
        <w:tc>
          <w:tcPr>
            <w:tcW w:w="6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t>32</w: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6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9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考察</w:t>
            </w:r>
          </w:p>
        </w:tc>
        <w:tc>
          <w:tcPr>
            <w:tcW w:w="9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6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801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</w:t>
            </w:r>
            <w:r>
              <w:t>56</w:t>
            </w: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32</w:t>
            </w:r>
          </w:p>
        </w:tc>
        <w:tc>
          <w:tcPr>
            <w:tcW w:w="6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9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</w:tbl>
    <w:p>
      <w:pPr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备注：</w:t>
      </w:r>
      <w:r>
        <w:rPr>
          <w:rFonts w:hint="eastAsia"/>
          <w:sz w:val="24"/>
          <w:szCs w:val="24"/>
        </w:rPr>
        <w:t>微专业单独编班组织教学，</w:t>
      </w:r>
      <w:r>
        <w:rPr>
          <w:rFonts w:hint="eastAsia"/>
          <w:sz w:val="24"/>
          <w:szCs w:val="24"/>
          <w:lang w:val="en-US" w:eastAsia="zh-CN"/>
        </w:rPr>
        <w:t>共三学期完成课程教学，分别安排在5-7学期，</w:t>
      </w:r>
      <w:r>
        <w:rPr>
          <w:rFonts w:hint="eastAsia"/>
          <w:sz w:val="24"/>
          <w:szCs w:val="24"/>
        </w:rPr>
        <w:t>利用教学周学生的空闲时间或集中安排在周末、假期进行授课，采取“线上+线下+实践</w:t>
      </w:r>
      <w:r>
        <w:rPr>
          <w:rFonts w:hint="eastAsia"/>
          <w:sz w:val="24"/>
          <w:szCs w:val="24"/>
          <w:lang w:val="en-US" w:eastAsia="zh-CN"/>
        </w:rPr>
        <w:t>+仿真</w:t>
      </w:r>
      <w:r>
        <w:rPr>
          <w:rFonts w:hint="eastAsia"/>
          <w:sz w:val="24"/>
          <w:szCs w:val="24"/>
        </w:rPr>
        <w:t>”的多元化培养形式，完成</w:t>
      </w:r>
      <w:r>
        <w:rPr>
          <w:rFonts w:hint="eastAsia"/>
          <w:sz w:val="24"/>
          <w:szCs w:val="24"/>
          <w:lang w:val="en-US" w:eastAsia="zh-CN"/>
        </w:rPr>
        <w:t>碳中和技术与管理</w:t>
      </w:r>
      <w:r>
        <w:rPr>
          <w:rFonts w:hint="eastAsia"/>
          <w:sz w:val="24"/>
          <w:szCs w:val="24"/>
        </w:rPr>
        <w:t>微专业的人才培养计划。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四、证书发放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微专业修读年限为</w:t>
      </w:r>
      <w:r>
        <w:rPr>
          <w:rFonts w:hint="eastAsia"/>
          <w:sz w:val="28"/>
          <w:szCs w:val="28"/>
          <w:lang w:val="en-US" w:eastAsia="zh-CN"/>
        </w:rPr>
        <w:t>1.5年，最常不超过2年</w:t>
      </w:r>
      <w:r>
        <w:rPr>
          <w:rFonts w:hint="eastAsia"/>
          <w:sz w:val="28"/>
          <w:szCs w:val="28"/>
        </w:rPr>
        <w:t>。学生</w:t>
      </w:r>
      <w:r>
        <w:rPr>
          <w:sz w:val="28"/>
          <w:szCs w:val="28"/>
        </w:rPr>
        <w:t>在主修专业学习年限内学生按要求完成微专业培养方案开设课程，获得规定学分，经学院审核后，报教务处备案，发放学校统一制作的微专业证书。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微专业是非学历教育，不在中国高等教育学生信息网（学信网）备注信息，不授予学士学位。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yNTZhMjQ3YmRmZDM4ZDg3YTgyZjVmZGU4MDhmNTAifQ=="/>
  </w:docVars>
  <w:rsids>
    <w:rsidRoot w:val="00616112"/>
    <w:rsid w:val="00037748"/>
    <w:rsid w:val="00330E76"/>
    <w:rsid w:val="004F2323"/>
    <w:rsid w:val="00537347"/>
    <w:rsid w:val="00597323"/>
    <w:rsid w:val="00616112"/>
    <w:rsid w:val="0082335A"/>
    <w:rsid w:val="00835D8D"/>
    <w:rsid w:val="008E045D"/>
    <w:rsid w:val="00926484"/>
    <w:rsid w:val="00956E98"/>
    <w:rsid w:val="00BE735B"/>
    <w:rsid w:val="00D27CDC"/>
    <w:rsid w:val="00DC7667"/>
    <w:rsid w:val="00DD58D2"/>
    <w:rsid w:val="00E07CB1"/>
    <w:rsid w:val="00F4307B"/>
    <w:rsid w:val="00F573EC"/>
    <w:rsid w:val="00F70628"/>
    <w:rsid w:val="00FB1D38"/>
    <w:rsid w:val="0C0F70F9"/>
    <w:rsid w:val="497235D0"/>
    <w:rsid w:val="6CA1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716</Words>
  <Characters>739</Characters>
  <Lines>6</Lines>
  <Paragraphs>1</Paragraphs>
  <TotalTime>7</TotalTime>
  <ScaleCrop>false</ScaleCrop>
  <LinksUpToDate>false</LinksUpToDate>
  <CharactersWithSpaces>739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2024-06-20T11:38:00Z</dcterms:created>
  <dc:creator>克杰 何</dc:creator>
  <cp:lastModifiedBy>駿</cp:lastModifiedBy>
  <dcterms:modified xsi:type="dcterms:W3CDTF">2024-06-21T05:25:56Z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B9A74A299AF04BB9B53453FE9EE2CE0D_13</vt:lpwstr>
  </property>
</Properties>
</file>